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86" w:rsidRPr="000B1CC5" w:rsidRDefault="000B1CC5" w:rsidP="00F25961">
      <w:pPr>
        <w:overflowPunct w:val="0"/>
        <w:autoSpaceDE w:val="0"/>
        <w:autoSpaceDN w:val="0"/>
        <w:adjustRightInd w:val="0"/>
        <w:spacing w:after="0" w:line="240" w:lineRule="auto"/>
        <w:ind w:hanging="426"/>
        <w:jc w:val="center"/>
        <w:outlineLvl w:val="0"/>
        <w:rPr>
          <w:rFonts w:ascii="Arial" w:eastAsia="Times New Roman" w:hAnsi="Arial"/>
          <w:b/>
          <w:color w:val="1F4E79"/>
          <w:sz w:val="24"/>
          <w:szCs w:val="24"/>
        </w:rPr>
      </w:pPr>
      <w:bookmarkStart w:id="0" w:name="_GoBack"/>
      <w:bookmarkEnd w:id="0"/>
      <w:r w:rsidRPr="000B1CC5">
        <w:rPr>
          <w:rFonts w:ascii="Arial" w:eastAsia="Times New Roman" w:hAnsi="Arial"/>
          <w:b/>
          <w:color w:val="1F4E79"/>
          <w:sz w:val="24"/>
          <w:szCs w:val="24"/>
        </w:rPr>
        <w:t>S</w:t>
      </w:r>
      <w:r w:rsidR="00F25961">
        <w:rPr>
          <w:rFonts w:ascii="Arial" w:eastAsia="Times New Roman" w:hAnsi="Arial"/>
          <w:b/>
          <w:color w:val="1F4E79"/>
          <w:sz w:val="24"/>
          <w:szCs w:val="24"/>
        </w:rPr>
        <w:t>T CHARLES CATHOLIC PRIMARY SCHOOL</w:t>
      </w:r>
      <w:r w:rsidRPr="000B1CC5">
        <w:rPr>
          <w:rFonts w:ascii="Arial" w:eastAsia="Times New Roman" w:hAnsi="Arial"/>
          <w:b/>
          <w:color w:val="1F4E79"/>
          <w:sz w:val="24"/>
          <w:szCs w:val="24"/>
        </w:rPr>
        <w:t xml:space="preserve"> </w:t>
      </w:r>
      <w:r w:rsidR="006F2386" w:rsidRPr="000B1CC5">
        <w:rPr>
          <w:rFonts w:ascii="Arial" w:eastAsia="Times New Roman" w:hAnsi="Arial"/>
          <w:b/>
          <w:color w:val="1F4E79"/>
          <w:sz w:val="24"/>
          <w:szCs w:val="24"/>
        </w:rPr>
        <w:t>GOVERNING BO</w:t>
      </w:r>
      <w:r w:rsidR="003953BF">
        <w:rPr>
          <w:rFonts w:ascii="Arial" w:eastAsia="Times New Roman" w:hAnsi="Arial"/>
          <w:b/>
          <w:color w:val="1F4E79"/>
          <w:sz w:val="24"/>
          <w:szCs w:val="24"/>
        </w:rPr>
        <w:t>ARD</w:t>
      </w:r>
      <w:r w:rsidR="006F2386" w:rsidRPr="000B1CC5">
        <w:rPr>
          <w:rFonts w:ascii="Arial" w:eastAsia="Times New Roman" w:hAnsi="Arial"/>
          <w:b/>
          <w:color w:val="1F4E79"/>
          <w:sz w:val="24"/>
          <w:szCs w:val="24"/>
        </w:rPr>
        <w:t xml:space="preserve"> DECISION PLANNER</w:t>
      </w:r>
      <w:r>
        <w:rPr>
          <w:rFonts w:ascii="Arial" w:eastAsia="Times New Roman" w:hAnsi="Arial"/>
          <w:b/>
          <w:color w:val="1F4E79"/>
          <w:sz w:val="24"/>
          <w:szCs w:val="24"/>
        </w:rPr>
        <w:t xml:space="preserve"> 2017-2018</w:t>
      </w:r>
    </w:p>
    <w:p w:rsidR="006F2386" w:rsidRDefault="006F2386" w:rsidP="006F2386">
      <w:pPr>
        <w:overflowPunct w:val="0"/>
        <w:autoSpaceDE w:val="0"/>
        <w:autoSpaceDN w:val="0"/>
        <w:adjustRightInd w:val="0"/>
        <w:spacing w:after="0" w:line="240" w:lineRule="auto"/>
        <w:ind w:hanging="284"/>
        <w:outlineLvl w:val="0"/>
        <w:rPr>
          <w:rFonts w:ascii="Arial" w:eastAsia="Times New Roman" w:hAnsi="Arial"/>
          <w:b/>
          <w:sz w:val="28"/>
          <w:szCs w:val="28"/>
        </w:rPr>
      </w:pPr>
    </w:p>
    <w:p w:rsidR="006F2386" w:rsidRDefault="006F2386" w:rsidP="006F2386">
      <w:pPr>
        <w:overflowPunct w:val="0"/>
        <w:autoSpaceDE w:val="0"/>
        <w:autoSpaceDN w:val="0"/>
        <w:adjustRightInd w:val="0"/>
        <w:spacing w:after="0" w:line="240" w:lineRule="auto"/>
        <w:ind w:left="-426"/>
        <w:jc w:val="both"/>
        <w:outlineLvl w:val="0"/>
        <w:rPr>
          <w:rFonts w:ascii="Arial" w:eastAsia="Times New Roman" w:hAnsi="Arial"/>
        </w:rPr>
      </w:pPr>
      <w:r>
        <w:rPr>
          <w:rFonts w:ascii="Arial" w:eastAsia="Times New Roman" w:hAnsi="Arial"/>
        </w:rPr>
        <w:t>A well organised governing body can spread its workload by setting up committees and delegating tasks to these committees, or in some instances to individuals. Governing bodies are accountable in law for all major decisions about the school and its future.  However, this does not mean that they are required to carry out all the work themselves.  For example; governing bodies have a responsibility to ensure that their schools have a pay policy, but they would not be expected to draft it themselves. This task can be delegated to a member of the school staff or the governors could use a model policy produced by the LA. The governors will then discuss and amend/endorse and adopt the policy as necessary. The same principle can be applied to the production of any required policy.</w:t>
      </w:r>
    </w:p>
    <w:p w:rsidR="006F2386" w:rsidRDefault="006F2386" w:rsidP="006F2386">
      <w:pPr>
        <w:overflowPunct w:val="0"/>
        <w:autoSpaceDE w:val="0"/>
        <w:autoSpaceDN w:val="0"/>
        <w:adjustRightInd w:val="0"/>
        <w:spacing w:after="0" w:line="240" w:lineRule="auto"/>
        <w:ind w:left="-426"/>
        <w:jc w:val="both"/>
        <w:outlineLvl w:val="0"/>
        <w:rPr>
          <w:rFonts w:ascii="Arial" w:eastAsia="Times New Roman" w:hAnsi="Arial"/>
        </w:rPr>
      </w:pPr>
    </w:p>
    <w:p w:rsidR="006F2386" w:rsidRDefault="006F2386" w:rsidP="006F2386">
      <w:pPr>
        <w:overflowPunct w:val="0"/>
        <w:autoSpaceDE w:val="0"/>
        <w:autoSpaceDN w:val="0"/>
        <w:adjustRightInd w:val="0"/>
        <w:spacing w:after="0" w:line="240" w:lineRule="auto"/>
        <w:ind w:left="-426"/>
        <w:jc w:val="both"/>
        <w:outlineLvl w:val="0"/>
        <w:rPr>
          <w:rFonts w:ascii="Arial" w:eastAsia="Times New Roman" w:hAnsi="Arial"/>
          <w:i/>
        </w:rPr>
      </w:pPr>
      <w:r>
        <w:rPr>
          <w:rFonts w:ascii="Arial" w:eastAsia="Times New Roman" w:hAnsi="Arial"/>
          <w:i/>
        </w:rPr>
        <w:t>*This planner shows to which level the governing body may legally delegate functions. However, governors must remember that although decisions may be delegated, the governing body as a whole remains responsible for any decision made under delegation.</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6F2386" w:rsidTr="006F2386">
        <w:trPr>
          <w:trHeight w:val="2494"/>
        </w:trPr>
        <w:tc>
          <w:tcPr>
            <w:tcW w:w="9215"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jc w:val="both"/>
              <w:rPr>
                <w:rFonts w:ascii="Arial" w:eastAsia="Times New Roman" w:hAnsi="Arial"/>
                <w:b/>
              </w:rPr>
            </w:pPr>
            <w:r>
              <w:rPr>
                <w:rFonts w:ascii="Arial" w:eastAsia="Times New Roman" w:hAnsi="Arial"/>
              </w:rPr>
              <w:t xml:space="preserve"> </w:t>
            </w:r>
          </w:p>
          <w:p w:rsidR="006F2386" w:rsidRDefault="006F2386">
            <w:pPr>
              <w:widowControl w:val="0"/>
              <w:overflowPunct w:val="0"/>
              <w:autoSpaceDE w:val="0"/>
              <w:autoSpaceDN w:val="0"/>
              <w:adjustRightInd w:val="0"/>
              <w:spacing w:after="0" w:line="240" w:lineRule="auto"/>
              <w:jc w:val="both"/>
              <w:rPr>
                <w:rFonts w:ascii="Arial" w:eastAsia="Times New Roman" w:hAnsi="Arial"/>
                <w:b/>
                <w:color w:val="44546A"/>
              </w:rPr>
            </w:pPr>
            <w:r>
              <w:rPr>
                <w:rFonts w:ascii="Arial" w:eastAsia="Times New Roman" w:hAnsi="Arial"/>
                <w:b/>
                <w:color w:val="44546A"/>
              </w:rPr>
              <w:t>KEY</w:t>
            </w:r>
          </w:p>
          <w:p w:rsidR="006F2386" w:rsidRDefault="006F2386">
            <w:pPr>
              <w:widowControl w:val="0"/>
              <w:overflowPunct w:val="0"/>
              <w:autoSpaceDE w:val="0"/>
              <w:autoSpaceDN w:val="0"/>
              <w:adjustRightInd w:val="0"/>
              <w:spacing w:after="0" w:line="240" w:lineRule="auto"/>
              <w:jc w:val="both"/>
              <w:rPr>
                <w:rFonts w:ascii="Arial" w:eastAsia="Times New Roman" w:hAnsi="Arial"/>
              </w:rPr>
            </w:pPr>
            <w:r>
              <w:rPr>
                <w:rFonts w:ascii="Arial" w:eastAsia="Times New Roman" w:hAnsi="Arial"/>
              </w:rPr>
              <w:t>Level 1: Full governing body (GB)</w:t>
            </w:r>
          </w:p>
          <w:p w:rsidR="006F2386" w:rsidRDefault="006F2386">
            <w:pPr>
              <w:widowControl w:val="0"/>
              <w:overflowPunct w:val="0"/>
              <w:autoSpaceDE w:val="0"/>
              <w:autoSpaceDN w:val="0"/>
              <w:adjustRightInd w:val="0"/>
              <w:spacing w:after="0" w:line="240" w:lineRule="auto"/>
              <w:jc w:val="both"/>
              <w:rPr>
                <w:rFonts w:ascii="Arial" w:eastAsia="Times New Roman" w:hAnsi="Arial"/>
              </w:rPr>
            </w:pPr>
            <w:r>
              <w:rPr>
                <w:rFonts w:ascii="Arial" w:eastAsia="Times New Roman" w:hAnsi="Arial"/>
              </w:rPr>
              <w:t>Level 2: A committee of the governing body</w:t>
            </w:r>
          </w:p>
          <w:p w:rsidR="006F2386" w:rsidRDefault="006F2386">
            <w:pPr>
              <w:widowControl w:val="0"/>
              <w:overflowPunct w:val="0"/>
              <w:autoSpaceDE w:val="0"/>
              <w:autoSpaceDN w:val="0"/>
              <w:adjustRightInd w:val="0"/>
              <w:spacing w:after="0" w:line="240" w:lineRule="auto"/>
              <w:jc w:val="both"/>
              <w:rPr>
                <w:rFonts w:ascii="Arial" w:eastAsia="Times New Roman" w:hAnsi="Arial"/>
              </w:rPr>
            </w:pPr>
            <w:r>
              <w:rPr>
                <w:rFonts w:ascii="Arial" w:eastAsia="Times New Roman" w:hAnsi="Arial"/>
              </w:rPr>
              <w:t>Level 3: An individual governor (*</w:t>
            </w:r>
            <w:r>
              <w:rPr>
                <w:rFonts w:ascii="Arial" w:eastAsia="Times New Roman" w:hAnsi="Arial"/>
                <w:i/>
              </w:rPr>
              <w:t>not recommended</w:t>
            </w:r>
            <w:r>
              <w:rPr>
                <w:rFonts w:ascii="Arial" w:eastAsia="Times New Roman" w:hAnsi="Arial"/>
              </w:rPr>
              <w:t>)</w:t>
            </w:r>
          </w:p>
          <w:p w:rsidR="006F2386" w:rsidRDefault="006F2386">
            <w:pPr>
              <w:widowControl w:val="0"/>
              <w:overflowPunct w:val="0"/>
              <w:autoSpaceDE w:val="0"/>
              <w:autoSpaceDN w:val="0"/>
              <w:adjustRightInd w:val="0"/>
              <w:spacing w:after="0" w:line="240" w:lineRule="auto"/>
              <w:jc w:val="both"/>
              <w:rPr>
                <w:rFonts w:ascii="Arial" w:eastAsia="Times New Roman" w:hAnsi="Arial"/>
              </w:rPr>
            </w:pPr>
            <w:r>
              <w:rPr>
                <w:rFonts w:ascii="Arial" w:eastAsia="Times New Roman" w:hAnsi="Arial"/>
              </w:rPr>
              <w:t>Level 4: Head teacher (HT)</w:t>
            </w:r>
          </w:p>
          <w:p w:rsidR="006F2386" w:rsidRDefault="006F2386">
            <w:pPr>
              <w:widowControl w:val="0"/>
              <w:overflowPunct w:val="0"/>
              <w:autoSpaceDE w:val="0"/>
              <w:autoSpaceDN w:val="0"/>
              <w:adjustRightInd w:val="0"/>
              <w:spacing w:after="0" w:line="240" w:lineRule="auto"/>
              <w:jc w:val="both"/>
              <w:rPr>
                <w:rFonts w:ascii="Arial" w:eastAsia="Times New Roman" w:hAnsi="Arial"/>
              </w:rPr>
            </w:pPr>
          </w:p>
          <w:p w:rsidR="006F2386" w:rsidRDefault="006F2386">
            <w:pPr>
              <w:widowControl w:val="0"/>
              <w:overflowPunct w:val="0"/>
              <w:autoSpaceDE w:val="0"/>
              <w:autoSpaceDN w:val="0"/>
              <w:adjustRightInd w:val="0"/>
              <w:spacing w:after="0" w:line="240" w:lineRule="auto"/>
              <w:jc w:val="both"/>
              <w:rPr>
                <w:rFonts w:ascii="Arial" w:eastAsia="Times New Roman" w:hAnsi="Arial"/>
              </w:rPr>
            </w:pPr>
            <w:r>
              <w:rPr>
                <w:rFonts w:ascii="Arial" w:eastAsia="Times New Roman" w:hAnsi="Arial"/>
              </w:rPr>
              <w:t>Box blank:  Action could be undertaken at this level.</w:t>
            </w:r>
          </w:p>
          <w:p w:rsidR="006F2386" w:rsidRDefault="006F2386">
            <w:pPr>
              <w:widowControl w:val="0"/>
              <w:overflowPunct w:val="0"/>
              <w:autoSpaceDE w:val="0"/>
              <w:autoSpaceDN w:val="0"/>
              <w:adjustRightInd w:val="0"/>
              <w:spacing w:after="0" w:line="240" w:lineRule="auto"/>
              <w:jc w:val="both"/>
              <w:rPr>
                <w:rFonts w:ascii="Arial" w:eastAsia="Times New Roman" w:hAnsi="Arial"/>
              </w:rPr>
            </w:pPr>
            <w:r>
              <w:rPr>
                <w:rFonts w:ascii="Arial" w:eastAsia="Times New Roman" w:hAnsi="Arial"/>
              </w:rPr>
              <w:t xml:space="preserve">Box greyed:  Function cannot be legally carried out at this level. </w:t>
            </w:r>
          </w:p>
        </w:tc>
      </w:tr>
    </w:tbl>
    <w:p w:rsidR="006F2386" w:rsidRDefault="006F2386" w:rsidP="006F2386">
      <w:pPr>
        <w:overflowPunct w:val="0"/>
        <w:autoSpaceDE w:val="0"/>
        <w:autoSpaceDN w:val="0"/>
        <w:adjustRightInd w:val="0"/>
        <w:spacing w:after="0" w:line="240" w:lineRule="auto"/>
        <w:rPr>
          <w:rFonts w:ascii="Arial" w:eastAsia="Times New Roman" w:hAnsi="Arial"/>
          <w:b/>
          <w:color w:val="44546A"/>
          <w:sz w:val="24"/>
          <w:szCs w:val="20"/>
        </w:rPr>
      </w:pPr>
    </w:p>
    <w:tbl>
      <w:tblPr>
        <w:tblW w:w="92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5"/>
        <w:gridCol w:w="709"/>
        <w:gridCol w:w="708"/>
        <w:gridCol w:w="709"/>
        <w:gridCol w:w="709"/>
      </w:tblGrid>
      <w:tr w:rsidR="006F2386" w:rsidTr="006F2386">
        <w:trPr>
          <w:trHeight w:val="408"/>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r>
              <w:rPr>
                <w:rFonts w:ascii="Arial" w:eastAsia="Times New Roman" w:hAnsi="Arial"/>
                <w:b/>
                <w:color w:val="44546A"/>
                <w:sz w:val="24"/>
                <w:szCs w:val="20"/>
              </w:rPr>
              <w:t>Key Functions</w:t>
            </w:r>
          </w:p>
        </w:tc>
        <w:tc>
          <w:tcPr>
            <w:tcW w:w="2835" w:type="dxa"/>
            <w:gridSpan w:val="4"/>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jc w:val="center"/>
              <w:rPr>
                <w:rFonts w:ascii="Arial" w:eastAsia="Times New Roman" w:hAnsi="Arial"/>
                <w:b/>
                <w:color w:val="44546A"/>
                <w:sz w:val="24"/>
                <w:szCs w:val="20"/>
              </w:rPr>
            </w:pPr>
            <w:r>
              <w:rPr>
                <w:rFonts w:ascii="Arial" w:eastAsia="Times New Roman" w:hAnsi="Arial"/>
                <w:b/>
                <w:color w:val="44546A"/>
                <w:sz w:val="24"/>
                <w:szCs w:val="20"/>
              </w:rPr>
              <w:t>Decision Level</w:t>
            </w:r>
          </w:p>
        </w:tc>
      </w:tr>
      <w:tr w:rsidR="006F2386" w:rsidTr="006F2386">
        <w:trPr>
          <w:trHeight w:val="128"/>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jc w:val="center"/>
              <w:rPr>
                <w:rFonts w:ascii="Arial" w:eastAsia="Times New Roman" w:hAnsi="Arial"/>
                <w:b/>
                <w:color w:val="44546A"/>
              </w:rPr>
            </w:pPr>
            <w:r>
              <w:rPr>
                <w:rFonts w:ascii="Arial" w:eastAsia="Times New Roman" w:hAnsi="Arial"/>
                <w:b/>
                <w:color w:val="44546A"/>
              </w:rPr>
              <w:t>1</w:t>
            </w:r>
          </w:p>
        </w:tc>
        <w:tc>
          <w:tcPr>
            <w:tcW w:w="708"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jc w:val="center"/>
              <w:rPr>
                <w:rFonts w:ascii="Arial" w:eastAsia="Times New Roman" w:hAnsi="Arial"/>
                <w:b/>
                <w:color w:val="44546A"/>
              </w:rPr>
            </w:pPr>
            <w:r>
              <w:rPr>
                <w:rFonts w:ascii="Arial" w:eastAsia="Times New Roman" w:hAnsi="Arial"/>
                <w:b/>
                <w:color w:val="44546A"/>
              </w:rPr>
              <w:t>2</w:t>
            </w:r>
          </w:p>
        </w:tc>
        <w:tc>
          <w:tcPr>
            <w:tcW w:w="709"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jc w:val="center"/>
              <w:rPr>
                <w:rFonts w:ascii="Arial" w:eastAsia="Times New Roman" w:hAnsi="Arial"/>
                <w:b/>
                <w:color w:val="44546A"/>
              </w:rPr>
            </w:pPr>
            <w:r>
              <w:rPr>
                <w:rFonts w:ascii="Arial" w:eastAsia="Times New Roman" w:hAnsi="Arial"/>
                <w:b/>
                <w:color w:val="44546A"/>
              </w:rPr>
              <w:t>3*</w:t>
            </w:r>
          </w:p>
        </w:tc>
        <w:tc>
          <w:tcPr>
            <w:tcW w:w="709"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jc w:val="center"/>
              <w:rPr>
                <w:rFonts w:ascii="Arial" w:eastAsia="Times New Roman" w:hAnsi="Arial"/>
                <w:b/>
                <w:color w:val="44546A"/>
              </w:rPr>
            </w:pPr>
            <w:r>
              <w:rPr>
                <w:rFonts w:ascii="Arial" w:eastAsia="Times New Roman" w:hAnsi="Arial"/>
                <w:b/>
                <w:color w:val="44546A"/>
              </w:rPr>
              <w:t>4</w:t>
            </w:r>
          </w:p>
        </w:tc>
      </w:tr>
      <w:tr w:rsidR="006F2386" w:rsidTr="006F2386">
        <w:trPr>
          <w:trHeight w:val="148"/>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 xml:space="preserve">To approve the first formal budget plan each financial year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23"/>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To monitor monthly expenditure.</w:t>
            </w:r>
            <w:r>
              <w:rPr>
                <w:rFonts w:ascii="Arial" w:eastAsia="Times New Roman" w:hAnsi="Arial"/>
                <w:sz w:val="24"/>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21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To establish a charging &amp; remissions policy</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17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 xml:space="preserve">Miscellaneous financial decisions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Pr="000B1CC5" w:rsidRDefault="000B1CC5">
            <w:pPr>
              <w:widowControl w:val="0"/>
              <w:overflowPunct w:val="0"/>
              <w:autoSpaceDE w:val="0"/>
              <w:autoSpaceDN w:val="0"/>
              <w:adjustRightInd w:val="0"/>
              <w:spacing w:after="0" w:line="240" w:lineRule="auto"/>
              <w:rPr>
                <w:rFonts w:ascii="Arial" w:eastAsia="Times New Roman" w:hAnsi="Arial"/>
                <w:sz w:val="28"/>
                <w:szCs w:val="28"/>
              </w:rPr>
            </w:pPr>
            <w:r w:rsidRPr="000B1CC5">
              <w:rPr>
                <w:rFonts w:ascii="Arial" w:eastAsia="Times New Roman" w:hAnsi="Arial"/>
                <w:sz w:val="28"/>
                <w:szCs w:val="28"/>
              </w:rPr>
              <w:sym w:font="Wingdings" w:char="F0FC"/>
            </w:r>
          </w:p>
        </w:tc>
      </w:tr>
      <w:tr w:rsidR="006F2386" w:rsidTr="006F2386">
        <w:trPr>
          <w:trHeight w:val="26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To enter into contracts (GB may wish to agree financial limits)</w:t>
            </w:r>
          </w:p>
        </w:tc>
        <w:tc>
          <w:tcPr>
            <w:tcW w:w="709"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Pr="000B1CC5" w:rsidRDefault="000B1CC5">
            <w:pPr>
              <w:widowControl w:val="0"/>
              <w:overflowPunct w:val="0"/>
              <w:autoSpaceDE w:val="0"/>
              <w:autoSpaceDN w:val="0"/>
              <w:adjustRightInd w:val="0"/>
              <w:spacing w:after="0" w:line="240" w:lineRule="auto"/>
              <w:rPr>
                <w:rFonts w:ascii="Arial" w:eastAsia="Times New Roman" w:hAnsi="Arial"/>
                <w:sz w:val="24"/>
                <w:szCs w:val="20"/>
              </w:rPr>
            </w:pPr>
            <w:r w:rsidRPr="000B1CC5">
              <w:rPr>
                <w:rFonts w:ascii="Arial" w:eastAsia="Times New Roman" w:hAnsi="Arial"/>
                <w:sz w:val="24"/>
                <w:szCs w:val="20"/>
              </w:rPr>
              <w:sym w:font="Wingdings" w:char="F0FC"/>
            </w:r>
          </w:p>
        </w:tc>
      </w:tr>
      <w:tr w:rsidR="006F2386" w:rsidTr="006F2386">
        <w:trPr>
          <w:trHeight w:val="118"/>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Pr="000B1CC5" w:rsidRDefault="006F2386">
            <w:pPr>
              <w:widowControl w:val="0"/>
              <w:overflowPunct w:val="0"/>
              <w:autoSpaceDE w:val="0"/>
              <w:autoSpaceDN w:val="0"/>
              <w:adjustRightInd w:val="0"/>
              <w:spacing w:after="0" w:line="240" w:lineRule="auto"/>
              <w:rPr>
                <w:rFonts w:ascii="Arial" w:eastAsia="Times New Roman" w:hAnsi="Arial"/>
                <w:sz w:val="28"/>
                <w:szCs w:val="28"/>
              </w:rPr>
            </w:pPr>
          </w:p>
        </w:tc>
      </w:tr>
      <w:tr w:rsidR="006F2386" w:rsidTr="006F2386">
        <w:trPr>
          <w:trHeight w:val="36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0"/>
              </w:rPr>
              <w:t>Staffing</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Pr="000B1CC5" w:rsidRDefault="006F2386">
            <w:pPr>
              <w:widowControl w:val="0"/>
              <w:overflowPunct w:val="0"/>
              <w:autoSpaceDE w:val="0"/>
              <w:autoSpaceDN w:val="0"/>
              <w:adjustRightInd w:val="0"/>
              <w:spacing w:after="0" w:line="240" w:lineRule="auto"/>
              <w:rPr>
                <w:rFonts w:ascii="Arial" w:eastAsia="Times New Roman" w:hAnsi="Arial"/>
                <w:sz w:val="28"/>
                <w:szCs w:val="28"/>
              </w:rPr>
            </w:pPr>
          </w:p>
        </w:tc>
      </w:tr>
      <w:tr w:rsidR="006F2386" w:rsidTr="006F2386">
        <w:trPr>
          <w:trHeight w:val="171"/>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HT appointments (selection panel) </w:t>
            </w:r>
          </w:p>
        </w:tc>
        <w:tc>
          <w:tcPr>
            <w:tcW w:w="709"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Pr="000B1CC5" w:rsidRDefault="006F2386">
            <w:pPr>
              <w:widowControl w:val="0"/>
              <w:overflowPunct w:val="0"/>
              <w:autoSpaceDE w:val="0"/>
              <w:autoSpaceDN w:val="0"/>
              <w:adjustRightInd w:val="0"/>
              <w:spacing w:after="0" w:line="240" w:lineRule="auto"/>
              <w:rPr>
                <w:rFonts w:ascii="Arial" w:eastAsia="Times New Roman" w:hAnsi="Arial"/>
                <w:sz w:val="28"/>
                <w:szCs w:val="28"/>
              </w:rPr>
            </w:pPr>
          </w:p>
        </w:tc>
      </w:tr>
      <w:tr w:rsidR="006F2386" w:rsidTr="006F2386">
        <w:trPr>
          <w:trHeight w:val="261"/>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Deputy</w:t>
            </w:r>
            <w:r w:rsidR="000B1CC5">
              <w:rPr>
                <w:rFonts w:ascii="Arial" w:eastAsia="Times New Roman" w:hAnsi="Arial"/>
                <w:sz w:val="20"/>
                <w:szCs w:val="20"/>
              </w:rPr>
              <w:t>/Assistant Headteacher</w:t>
            </w:r>
            <w:r>
              <w:rPr>
                <w:rFonts w:ascii="Arial" w:eastAsia="Times New Roman" w:hAnsi="Arial"/>
                <w:sz w:val="20"/>
                <w:szCs w:val="20"/>
              </w:rPr>
              <w:t xml:space="preserve"> appointments (selection panel) </w:t>
            </w:r>
          </w:p>
        </w:tc>
        <w:tc>
          <w:tcPr>
            <w:tcW w:w="709"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Pr="000B1CC5" w:rsidRDefault="006F2386">
            <w:pPr>
              <w:widowControl w:val="0"/>
              <w:overflowPunct w:val="0"/>
              <w:autoSpaceDE w:val="0"/>
              <w:autoSpaceDN w:val="0"/>
              <w:adjustRightInd w:val="0"/>
              <w:spacing w:after="0" w:line="240" w:lineRule="auto"/>
              <w:rPr>
                <w:rFonts w:ascii="Arial" w:eastAsia="Times New Roman" w:hAnsi="Arial"/>
                <w:sz w:val="28"/>
                <w:szCs w:val="28"/>
              </w:rPr>
            </w:pPr>
          </w:p>
        </w:tc>
      </w:tr>
      <w:tr w:rsidR="006F2386" w:rsidTr="006F2386">
        <w:trPr>
          <w:trHeight w:val="210"/>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Appoint other teachers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Pr="000B1CC5" w:rsidRDefault="000B1CC5">
            <w:pPr>
              <w:widowControl w:val="0"/>
              <w:overflowPunct w:val="0"/>
              <w:autoSpaceDE w:val="0"/>
              <w:autoSpaceDN w:val="0"/>
              <w:adjustRightInd w:val="0"/>
              <w:spacing w:after="0" w:line="240" w:lineRule="auto"/>
              <w:rPr>
                <w:rFonts w:ascii="Arial" w:eastAsia="Times New Roman" w:hAnsi="Arial"/>
                <w:sz w:val="28"/>
                <w:szCs w:val="28"/>
              </w:rPr>
            </w:pPr>
            <w:r w:rsidRPr="000B1CC5">
              <w:rPr>
                <w:rFonts w:ascii="Arial" w:eastAsia="Times New Roman" w:hAnsi="Arial"/>
                <w:sz w:val="28"/>
                <w:szCs w:val="28"/>
              </w:rPr>
              <w:sym w:font="Wingdings" w:char="F0FC"/>
            </w:r>
          </w:p>
        </w:tc>
      </w:tr>
      <w:tr w:rsidR="006F2386" w:rsidTr="006F2386">
        <w:trPr>
          <w:trHeight w:val="313"/>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Appoint non-teaching staff</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120"/>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Agree a pay policy</w:t>
            </w:r>
          </w:p>
        </w:tc>
        <w:tc>
          <w:tcPr>
            <w:tcW w:w="709"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09"/>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Pay discretions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31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Establishing disciplinary/capability procedures</w:t>
            </w:r>
          </w:p>
        </w:tc>
        <w:tc>
          <w:tcPr>
            <w:tcW w:w="709"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9F6D8C">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120"/>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Dismissal of HT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sz w:val="20"/>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2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Dismissal of other staff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9F6D8C">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20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Suspension HT</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0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b/>
                <w:sz w:val="28"/>
                <w:szCs w:val="28"/>
              </w:rPr>
            </w:pPr>
            <w:r>
              <w:rPr>
                <w:rFonts w:ascii="Arial" w:eastAsia="Times New Roman" w:hAnsi="Arial"/>
                <w:sz w:val="20"/>
                <w:szCs w:val="20"/>
              </w:rPr>
              <w:t>Suspension staff (except HT)</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26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Ending suspension (HT)</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1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lastRenderedPageBreak/>
              <w:t>Ending suspension (except HT)</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17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Determining staff complement</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color w:val="999999"/>
                <w:sz w:val="28"/>
                <w:szCs w:val="28"/>
              </w:rPr>
            </w:pPr>
          </w:p>
        </w:tc>
      </w:tr>
      <w:tr w:rsidR="006F2386" w:rsidTr="006F2386">
        <w:trPr>
          <w:trHeight w:val="549"/>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Voluntary &amp; foundation schools to agree whether or not the Chief Education Officer / Diocesan authority should have advisory rights</w:t>
            </w:r>
          </w:p>
        </w:tc>
        <w:tc>
          <w:tcPr>
            <w:tcW w:w="709" w:type="dxa"/>
            <w:tcBorders>
              <w:top w:val="single" w:sz="4" w:space="0" w:color="auto"/>
              <w:left w:val="single" w:sz="4" w:space="0" w:color="auto"/>
              <w:bottom w:val="single" w:sz="4" w:space="0" w:color="auto"/>
              <w:right w:val="single" w:sz="4" w:space="0" w:color="auto"/>
            </w:tcBorders>
          </w:tcPr>
          <w:p w:rsidR="006F2386" w:rsidRDefault="006F2386" w:rsidP="000B1CC5">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7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Determining dismissal payments / early retirement</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15"/>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color w:val="FFFFFF"/>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15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color w:val="44546A"/>
                <w:sz w:val="20"/>
                <w:szCs w:val="20"/>
              </w:rPr>
            </w:pPr>
            <w:r>
              <w:rPr>
                <w:rFonts w:ascii="Arial" w:eastAsia="Times New Roman" w:hAnsi="Arial"/>
                <w:b/>
                <w:color w:val="44546A"/>
                <w:sz w:val="24"/>
                <w:szCs w:val="20"/>
              </w:rPr>
              <w:t>Curriculum</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color w:val="FFFFFF"/>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28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cs="Aharoni"/>
                <w:sz w:val="20"/>
                <w:szCs w:val="20"/>
              </w:rPr>
            </w:pPr>
            <w:r>
              <w:rPr>
                <w:rFonts w:ascii="Arial" w:eastAsia="Times New Roman" w:hAnsi="Arial" w:cs="Aharoni"/>
                <w:sz w:val="20"/>
                <w:szCs w:val="20"/>
              </w:rPr>
              <w:t>Ensure National Curriculum (NC) is taught to all pupils &amp; to consider any disapplication for pupil(s)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249"/>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cs="Aharoni"/>
                <w:sz w:val="20"/>
                <w:szCs w:val="20"/>
              </w:rPr>
            </w:pPr>
            <w:r>
              <w:rPr>
                <w:rFonts w:ascii="Arial" w:eastAsia="Times New Roman" w:hAnsi="Arial" w:cs="Aharoni"/>
                <w:sz w:val="20"/>
                <w:szCs w:val="20"/>
              </w:rPr>
              <w:t>To establish a curriculum policy</w:t>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340"/>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cs="Aharoni"/>
                <w:sz w:val="20"/>
                <w:szCs w:val="20"/>
              </w:rPr>
            </w:pPr>
            <w:r>
              <w:rPr>
                <w:rFonts w:ascii="Arial" w:eastAsia="Times New Roman" w:hAnsi="Arial" w:cs="Aharoni"/>
                <w:sz w:val="20"/>
                <w:szCs w:val="20"/>
              </w:rPr>
              <w:t>To implement curriculum policy</w:t>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27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cs="Aharoni"/>
                <w:sz w:val="20"/>
                <w:szCs w:val="20"/>
              </w:rPr>
            </w:pPr>
            <w:r>
              <w:rPr>
                <w:rFonts w:ascii="Arial" w:eastAsia="Times New Roman" w:hAnsi="Arial" w:cs="Aharoni"/>
                <w:sz w:val="20"/>
                <w:szCs w:val="20"/>
              </w:rPr>
              <w:t>To agree or reject monitor curriculum policy</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21"/>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cs="Aharoni"/>
                <w:sz w:val="20"/>
                <w:szCs w:val="20"/>
              </w:rPr>
            </w:pPr>
            <w:r>
              <w:rPr>
                <w:rFonts w:ascii="Arial" w:eastAsia="Times New Roman" w:hAnsi="Arial" w:cs="Aharoni"/>
                <w:sz w:val="20"/>
                <w:szCs w:val="20"/>
              </w:rPr>
              <w:t>Responsible for standards of teaching</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cs="Aharoni"/>
                <w:sz w:val="20"/>
                <w:szCs w:val="20"/>
              </w:rPr>
            </w:pPr>
            <w:r>
              <w:rPr>
                <w:rFonts w:ascii="Arial" w:eastAsia="Times New Roman" w:hAnsi="Arial" w:cs="Aharoni"/>
                <w:sz w:val="20"/>
                <w:szCs w:val="20"/>
              </w:rPr>
              <w:t>To decide which subject options should be taught having regard to resources &amp; implement provision for flexibility in the curriculum (including activities outside school day)</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22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cs="Aharoni"/>
                <w:sz w:val="20"/>
                <w:szCs w:val="20"/>
              </w:rPr>
            </w:pPr>
            <w:r>
              <w:rPr>
                <w:rFonts w:ascii="Arial" w:eastAsia="Times New Roman" w:hAnsi="Arial" w:cs="Aharoni"/>
                <w:sz w:val="20"/>
                <w:szCs w:val="20"/>
              </w:rPr>
              <w:t>Responsibility for individual child’s education</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0B1CC5">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cs="Aharoni"/>
                <w:i/>
                <w:sz w:val="20"/>
                <w:szCs w:val="20"/>
              </w:rPr>
            </w:pPr>
            <w:r>
              <w:rPr>
                <w:rFonts w:ascii="Arial" w:eastAsia="Times New Roman" w:hAnsi="Arial" w:cs="Aharoni"/>
                <w:sz w:val="20"/>
                <w:szCs w:val="20"/>
              </w:rPr>
              <w:t xml:space="preserve">Provision of </w:t>
            </w:r>
            <w:r w:rsidR="00F25961">
              <w:rPr>
                <w:rFonts w:ascii="Arial" w:eastAsia="Times New Roman" w:hAnsi="Arial" w:cs="Aharoni"/>
                <w:sz w:val="20"/>
                <w:szCs w:val="20"/>
              </w:rPr>
              <w:t>relationship &amp;</w:t>
            </w:r>
            <w:r>
              <w:rPr>
                <w:rFonts w:ascii="Arial" w:eastAsia="Times New Roman" w:hAnsi="Arial" w:cs="Aharoni"/>
                <w:sz w:val="20"/>
                <w:szCs w:val="20"/>
              </w:rPr>
              <w:t xml:space="preserve">sex education – establish an up-to-date written policy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Pr="00C7554E" w:rsidRDefault="00F25961">
            <w:pPr>
              <w:widowControl w:val="0"/>
              <w:overflowPunct w:val="0"/>
              <w:autoSpaceDE w:val="0"/>
              <w:autoSpaceDN w:val="0"/>
              <w:adjustRightInd w:val="0"/>
              <w:spacing w:after="0" w:line="240" w:lineRule="auto"/>
              <w:rPr>
                <w:rFonts w:ascii="Arial" w:eastAsia="Times New Roman" w:hAnsi="Arial"/>
                <w:sz w:val="28"/>
                <w:szCs w:val="28"/>
              </w:rPr>
            </w:pPr>
            <w:r>
              <w:rPr>
                <w:rFonts w:ascii="Arial" w:eastAsia="Times New Roman" w:hAnsi="Arial"/>
                <w:sz w:val="28"/>
                <w:szCs w:val="28"/>
              </w:rPr>
              <w:sym w:font="Wingdings" w:char="F0FC"/>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cs="Aharoni"/>
                <w:sz w:val="20"/>
                <w:szCs w:val="20"/>
              </w:rPr>
            </w:pPr>
            <w:r>
              <w:rPr>
                <w:rFonts w:ascii="Arial" w:eastAsia="Times New Roman" w:hAnsi="Arial" w:cs="Aharoni"/>
                <w:sz w:val="20"/>
                <w:szCs w:val="20"/>
              </w:rPr>
              <w:t xml:space="preserve">To prohibit political indoctrination &amp; ensuring the balanced treatment of political issues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cs="Aharoni"/>
                <w:sz w:val="20"/>
                <w:szCs w:val="20"/>
              </w:rPr>
            </w:pPr>
            <w:r>
              <w:rPr>
                <w:rFonts w:ascii="Arial" w:eastAsia="Times New Roman" w:hAnsi="Arial" w:cs="Aharoni"/>
                <w:sz w:val="20"/>
                <w:szCs w:val="20"/>
              </w:rPr>
              <w:t xml:space="preserve">To establish a charging and remissions policy for activities (non NC based)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232"/>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97"/>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4"/>
              </w:rPr>
              <w:t>Performance Management</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80"/>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 xml:space="preserve">To formulate a performance management policy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Pr="009F6D8C" w:rsidRDefault="00C7554E">
            <w:pPr>
              <w:widowControl w:val="0"/>
              <w:overflowPunct w:val="0"/>
              <w:autoSpaceDE w:val="0"/>
              <w:autoSpaceDN w:val="0"/>
              <w:adjustRightInd w:val="0"/>
              <w:spacing w:after="0" w:line="240" w:lineRule="auto"/>
              <w:rPr>
                <w:rFonts w:ascii="Arial" w:eastAsia="Times New Roman" w:hAnsi="Arial"/>
                <w:sz w:val="28"/>
                <w:szCs w:val="28"/>
              </w:rPr>
            </w:pPr>
            <w:r w:rsidRPr="009F6D8C">
              <w:rPr>
                <w:rFonts w:ascii="Arial" w:eastAsia="Times New Roman" w:hAnsi="Arial"/>
                <w:sz w:val="28"/>
                <w:szCs w:val="28"/>
              </w:rPr>
              <w:sym w:font="Wingdings" w:char="F0FC"/>
            </w:r>
          </w:p>
        </w:tc>
      </w:tr>
      <w:tr w:rsidR="006F2386" w:rsidTr="006F2386">
        <w:trPr>
          <w:trHeight w:val="227"/>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To establish a performance management policy</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9F6D8C">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318"/>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To implement the performance management policy</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Pr="009F6D8C" w:rsidRDefault="00C7554E">
            <w:pPr>
              <w:widowControl w:val="0"/>
              <w:overflowPunct w:val="0"/>
              <w:autoSpaceDE w:val="0"/>
              <w:autoSpaceDN w:val="0"/>
              <w:adjustRightInd w:val="0"/>
              <w:spacing w:after="0" w:line="240" w:lineRule="auto"/>
              <w:rPr>
                <w:rFonts w:ascii="Arial" w:eastAsia="Times New Roman" w:hAnsi="Arial"/>
                <w:sz w:val="24"/>
                <w:szCs w:val="24"/>
              </w:rPr>
            </w:pPr>
            <w:r w:rsidRPr="009F6D8C">
              <w:rPr>
                <w:rFonts w:ascii="Arial" w:eastAsia="Times New Roman" w:hAnsi="Arial"/>
                <w:sz w:val="24"/>
                <w:szCs w:val="24"/>
              </w:rPr>
              <w:sym w:font="Wingdings" w:char="F0FC"/>
            </w:r>
          </w:p>
        </w:tc>
      </w:tr>
      <w:tr w:rsidR="006F2386" w:rsidTr="006F2386">
        <w:trPr>
          <w:trHeight w:val="277"/>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To review annually the performance management policy</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31"/>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331"/>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0"/>
              </w:rPr>
              <w:t>Target Setting</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56"/>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firstLine="318"/>
              <w:rPr>
                <w:rFonts w:ascii="Arial" w:eastAsia="Times New Roman" w:hAnsi="Arial"/>
                <w:sz w:val="20"/>
                <w:szCs w:val="20"/>
              </w:rPr>
            </w:pPr>
            <w:r>
              <w:rPr>
                <w:rFonts w:ascii="Arial" w:eastAsia="Times New Roman" w:hAnsi="Arial"/>
                <w:sz w:val="20"/>
                <w:szCs w:val="20"/>
              </w:rPr>
              <w:t>To set &amp; publish targets for pupil achievement</w:t>
            </w:r>
            <w:r w:rsidR="00C7554E">
              <w:rPr>
                <w:rFonts w:ascii="Arial" w:eastAsia="Times New Roman" w:hAnsi="Arial"/>
                <w:sz w:val="20"/>
                <w:szCs w:val="20"/>
              </w:rPr>
              <w:t xml:space="preserve"> </w:t>
            </w:r>
            <w:r>
              <w:rPr>
                <w:rFonts w:ascii="Arial" w:eastAsia="Times New Roman" w:hAnsi="Arial"/>
                <w: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F2386" w:rsidRDefault="006F2386" w:rsidP="00C7554E">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Pr="009F6D8C" w:rsidRDefault="009F6D8C">
            <w:pPr>
              <w:widowControl w:val="0"/>
              <w:overflowPunct w:val="0"/>
              <w:autoSpaceDE w:val="0"/>
              <w:autoSpaceDN w:val="0"/>
              <w:adjustRightInd w:val="0"/>
              <w:spacing w:after="0" w:line="240" w:lineRule="auto"/>
              <w:rPr>
                <w:rFonts w:ascii="Arial" w:eastAsia="Times New Roman" w:hAnsi="Arial"/>
                <w:sz w:val="28"/>
                <w:szCs w:val="28"/>
              </w:rPr>
            </w:pPr>
            <w:r w:rsidRPr="009F6D8C">
              <w:rPr>
                <w:rFonts w:ascii="Arial" w:eastAsia="Times New Roman" w:hAnsi="Arial"/>
                <w:sz w:val="28"/>
                <w:szCs w:val="28"/>
              </w:rPr>
              <w:sym w:font="Wingdings" w:char="F0FC"/>
            </w:r>
          </w:p>
        </w:tc>
      </w:tr>
      <w:tr w:rsidR="006F2386" w:rsidTr="006F2386">
        <w:trPr>
          <w:trHeight w:val="204"/>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0"/>
              </w:rPr>
              <w:t>Discipline / Exclusions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To establish a discipline policy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9F6D8C">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To review the use of exclusion &amp; to decide whether or not to confirm all permanent exclusions &amp; fixed term exclusions where the pupil is either excluded for more than 15 days in total in a term or would lose the opportunity to sit a public examination.  (Can be delegated to chair/vice-chair in cases of urgency)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direct reinstatement of excluded pupils (Can be delegated to chair/vice-chair in cases of urgency)</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142"/>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30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0"/>
              </w:rPr>
              <w:t>Admissions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To consult annually before setting an admissions policy (but in community &amp; controlled schools only where the LA has delegated this power to the GB) </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t>N/A</w:t>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To consult annually before setting an admissions policy (VA &amp; Foundation schools) </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t>N/A</w:t>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lastRenderedPageBreak/>
              <w:t xml:space="preserve">To establish an admissions policy (special schools where pupils do not have a statement) acting with LA </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t>N/A</w:t>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Admissions: application decisions (but in community &amp; controlled schools only where the LA has delegated this power to the GB)</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t>N/A</w:t>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Admissions: application decisions (VA, Foundation and special schools)</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t>N/A</w:t>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appeal against LA directions to admit pupil(s) (Voluntary, Foundation &amp; special schools; also community &amp; VC schools where LA is the admissions authority)</w:t>
            </w:r>
          </w:p>
        </w:tc>
        <w:tc>
          <w:tcPr>
            <w:tcW w:w="709"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t>N/A</w:t>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0"/>
              </w:rPr>
              <w:t>Religious Education</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Responsibility for ensuring provision of RE in line with school’s basic curriculum (all schools)</w:t>
            </w:r>
          </w:p>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 </w:t>
            </w:r>
            <w:r>
              <w:rPr>
                <w:rFonts w:ascii="Arial" w:eastAsia="Times New Roman" w:hAnsi="Arial"/>
                <w:i/>
                <w:sz w:val="20"/>
                <w:szCs w:val="20"/>
              </w:rPr>
              <w:t>this must fall into line with locally agreed syllabus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Decision to revert to previous RE syllabus (Foundation Schools except VA of religious character)</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t>N/A</w:t>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Decision to provide RE according to trust deed/specified denomination in VA schools with religious character (Foundation &amp; VC schools of religious character at request of parents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Pr="00F25961" w:rsidRDefault="00F25961">
            <w:pPr>
              <w:widowControl w:val="0"/>
              <w:overflowPunct w:val="0"/>
              <w:autoSpaceDE w:val="0"/>
              <w:autoSpaceDN w:val="0"/>
              <w:adjustRightInd w:val="0"/>
              <w:spacing w:after="0" w:line="240" w:lineRule="auto"/>
              <w:rPr>
                <w:rFonts w:ascii="Arial" w:eastAsia="Times New Roman" w:hAnsi="Arial"/>
                <w:sz w:val="28"/>
                <w:szCs w:val="28"/>
              </w:rPr>
            </w:pPr>
            <w:r w:rsidRPr="00F25961">
              <w:rPr>
                <w:rFonts w:ascii="Arial" w:eastAsia="Times New Roman" w:hAnsi="Arial"/>
                <w:sz w:val="28"/>
                <w:szCs w:val="28"/>
              </w:rPr>
              <w:sym w:font="Wingdings" w:char="F0FC"/>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Decision to provide RE in line with locally agreed syllabus (VA schools – only if parents request it. All other schools not covered above) </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t>N/A</w:t>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4"/>
              </w:rPr>
              <w:t>Collective Worship</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In all maintained schools to ensure that all pupils take part in a daily act of collective worship (after consulting GB)</w:t>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make application to the advisory councils, SACRE, concerning the requirements for collective worship (schools without a religious character) to no longer apply (after consulting GB)</w:t>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t>N/A</w:t>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Arrangements for collective worship (schools without religious character (after consulting GB)</w:t>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t>N/A</w:t>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8"/>
                <w:szCs w:val="28"/>
              </w:rPr>
            </w:pPr>
            <w:r>
              <w:rPr>
                <w:rFonts w:ascii="Arial" w:eastAsia="Times New Roman" w:hAnsi="Arial"/>
                <w:sz w:val="20"/>
                <w:szCs w:val="20"/>
              </w:rPr>
              <w:t>Arrangements for collective worship in  Foundation schools of religious character, VC or VA schools (after consulting HT)</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58"/>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0"/>
              </w:rPr>
              <w:t>Premises &amp; Insurance</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i/>
                <w:sz w:val="20"/>
                <w:szCs w:val="20"/>
              </w:rPr>
            </w:pPr>
            <w:r>
              <w:rPr>
                <w:rFonts w:ascii="Arial" w:eastAsia="Times New Roman" w:hAnsi="Arial"/>
                <w:sz w:val="20"/>
                <w:szCs w:val="20"/>
              </w:rPr>
              <w:t xml:space="preserve">Buildings insurance &amp; personal liability – GB to seek advice from LA, diocese or trustees where appropriate (it is suggested that the GB as a whole should be involved in this decision)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Developing school buildings strategy or master plan &amp; contributing as required to LA Asset Management Planning arrangements (it is suggested that the GB as a whole should undertake this decision)</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Procuring &amp; maintaining buildings, including developing properly funded maintenance plan</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4"/>
              </w:rPr>
              <w:t>Health &amp; Safety</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institute a H&amp;S policy (in community &amp; VC schools this would be the LA)</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ensure that H&amp;S regulations are followed</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Pr="00F25961" w:rsidRDefault="00F25961">
            <w:pPr>
              <w:widowControl w:val="0"/>
              <w:overflowPunct w:val="0"/>
              <w:autoSpaceDE w:val="0"/>
              <w:autoSpaceDN w:val="0"/>
              <w:adjustRightInd w:val="0"/>
              <w:spacing w:after="0" w:line="240" w:lineRule="auto"/>
              <w:rPr>
                <w:rFonts w:ascii="Arial" w:eastAsia="Times New Roman" w:hAnsi="Arial"/>
                <w:sz w:val="28"/>
                <w:szCs w:val="28"/>
              </w:rPr>
            </w:pPr>
            <w:r w:rsidRPr="00F25961">
              <w:rPr>
                <w:rFonts w:ascii="Arial" w:eastAsia="Times New Roman" w:hAnsi="Arial"/>
                <w:sz w:val="28"/>
                <w:szCs w:val="28"/>
              </w:rPr>
              <w:sym w:font="Wingdings" w:char="F0FC"/>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4"/>
              </w:rPr>
              <w:t>School Organisation</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publish proposals to change category of school</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Proposal to alter or discontinue voluntary foundation or foundation special school</w:t>
            </w:r>
          </w:p>
        </w:tc>
        <w:tc>
          <w:tcPr>
            <w:tcW w:w="709"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lastRenderedPageBreak/>
              <w:t>To set the times of school sessions &amp; dates of school terms and holidays (except in community &amp; VC schools where it is the LA)</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To ensure that the school meets for 380 sessions in a school year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Pr="00F25961" w:rsidRDefault="00C7554E">
            <w:pPr>
              <w:widowControl w:val="0"/>
              <w:overflowPunct w:val="0"/>
              <w:autoSpaceDE w:val="0"/>
              <w:autoSpaceDN w:val="0"/>
              <w:adjustRightInd w:val="0"/>
              <w:spacing w:after="0" w:line="240" w:lineRule="auto"/>
              <w:rPr>
                <w:rFonts w:ascii="Arial" w:eastAsia="Times New Roman" w:hAnsi="Arial"/>
                <w:sz w:val="28"/>
                <w:szCs w:val="28"/>
              </w:rPr>
            </w:pPr>
            <w:r w:rsidRPr="00F25961">
              <w:rPr>
                <w:rFonts w:ascii="Arial" w:eastAsia="Times New Roman" w:hAnsi="Arial"/>
                <w:sz w:val="28"/>
                <w:szCs w:val="28"/>
              </w:rPr>
              <w:sym w:font="Wingdings" w:char="F0FC"/>
            </w:r>
          </w:p>
        </w:tc>
      </w:tr>
      <w:tr w:rsidR="006F2386" w:rsidTr="006F2386">
        <w:trPr>
          <w:trHeight w:val="82"/>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ensure that school lunch nutritional standards are met where provided by the GB.</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Pr="00F25961" w:rsidRDefault="00F25961">
            <w:pPr>
              <w:widowControl w:val="0"/>
              <w:overflowPunct w:val="0"/>
              <w:autoSpaceDE w:val="0"/>
              <w:autoSpaceDN w:val="0"/>
              <w:adjustRightInd w:val="0"/>
              <w:spacing w:after="0" w:line="240" w:lineRule="auto"/>
              <w:rPr>
                <w:rFonts w:ascii="Arial" w:eastAsia="Times New Roman" w:hAnsi="Arial"/>
                <w:sz w:val="28"/>
                <w:szCs w:val="28"/>
              </w:rPr>
            </w:pPr>
            <w:r w:rsidRPr="00F25961">
              <w:rPr>
                <w:rFonts w:ascii="Arial" w:eastAsia="Times New Roman" w:hAnsi="Arial"/>
                <w:sz w:val="28"/>
                <w:szCs w:val="28"/>
              </w:rPr>
              <w:sym w:font="Wingdings" w:char="F0FC"/>
            </w:r>
          </w:p>
        </w:tc>
      </w:tr>
      <w:tr w:rsidR="006F2386" w:rsidTr="006F2386">
        <w:trPr>
          <w:trHeight w:val="119"/>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4"/>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Pr="00C7554E" w:rsidRDefault="006F2386">
            <w:pPr>
              <w:widowControl w:val="0"/>
              <w:overflowPunct w:val="0"/>
              <w:autoSpaceDE w:val="0"/>
              <w:autoSpaceDN w:val="0"/>
              <w:adjustRightInd w:val="0"/>
              <w:spacing w:after="0" w:line="240" w:lineRule="auto"/>
              <w:rPr>
                <w:rFonts w:ascii="Arial" w:eastAsia="Times New Roman" w:hAnsi="Arial"/>
                <w:sz w:val="28"/>
                <w:szCs w:val="28"/>
              </w:rPr>
            </w:pPr>
          </w:p>
        </w:tc>
      </w:tr>
      <w:tr w:rsidR="006F2386" w:rsidTr="006F2386">
        <w:trPr>
          <w:trHeight w:val="39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4"/>
              </w:rPr>
              <w:t>Information For Parents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Pr="00C7554E" w:rsidRDefault="006F2386">
            <w:pPr>
              <w:widowControl w:val="0"/>
              <w:overflowPunct w:val="0"/>
              <w:autoSpaceDE w:val="0"/>
              <w:autoSpaceDN w:val="0"/>
              <w:adjustRightInd w:val="0"/>
              <w:spacing w:after="0" w:line="240" w:lineRule="auto"/>
              <w:rPr>
                <w:rFonts w:ascii="Arial" w:eastAsia="Times New Roman" w:hAnsi="Arial"/>
                <w:sz w:val="28"/>
                <w:szCs w:val="28"/>
              </w:rPr>
            </w:pPr>
          </w:p>
        </w:tc>
      </w:tr>
      <w:tr w:rsidR="006F2386" w:rsidTr="006F2386">
        <w:trPr>
          <w:trHeight w:val="230"/>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To prepare &amp; publish the school prospectus </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Pr="00C7554E" w:rsidRDefault="00C7554E">
            <w:pPr>
              <w:widowControl w:val="0"/>
              <w:overflowPunct w:val="0"/>
              <w:autoSpaceDE w:val="0"/>
              <w:autoSpaceDN w:val="0"/>
              <w:adjustRightInd w:val="0"/>
              <w:spacing w:after="0" w:line="240" w:lineRule="auto"/>
              <w:rPr>
                <w:rFonts w:ascii="Arial" w:eastAsia="Times New Roman" w:hAnsi="Arial"/>
                <w:sz w:val="28"/>
                <w:szCs w:val="28"/>
              </w:rPr>
            </w:pPr>
            <w:r w:rsidRPr="00C7554E">
              <w:rPr>
                <w:rFonts w:ascii="Arial" w:eastAsia="Times New Roman" w:hAnsi="Arial"/>
                <w:sz w:val="28"/>
                <w:szCs w:val="28"/>
              </w:rPr>
              <w:sym w:font="Wingdings" w:char="F0FC"/>
            </w:r>
          </w:p>
        </w:tc>
      </w:tr>
      <w:tr w:rsidR="006F2386" w:rsidTr="006F2386">
        <w:trPr>
          <w:trHeight w:val="30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prepare &amp; publish the school profile</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Pr="00C7554E" w:rsidRDefault="00C7554E">
            <w:pPr>
              <w:widowControl w:val="0"/>
              <w:overflowPunct w:val="0"/>
              <w:autoSpaceDE w:val="0"/>
              <w:autoSpaceDN w:val="0"/>
              <w:adjustRightInd w:val="0"/>
              <w:spacing w:after="0" w:line="240" w:lineRule="auto"/>
              <w:rPr>
                <w:rFonts w:ascii="Arial" w:eastAsia="Times New Roman" w:hAnsi="Arial"/>
                <w:sz w:val="28"/>
                <w:szCs w:val="28"/>
              </w:rPr>
            </w:pPr>
            <w:r w:rsidRPr="00C7554E">
              <w:rPr>
                <w:rFonts w:ascii="Arial" w:eastAsia="Times New Roman" w:hAnsi="Arial"/>
                <w:sz w:val="28"/>
                <w:szCs w:val="28"/>
              </w:rPr>
              <w:sym w:font="Wingdings" w:char="F0FC"/>
            </w:r>
          </w:p>
        </w:tc>
      </w:tr>
      <w:tr w:rsidR="006F2386" w:rsidTr="006F2386">
        <w:trPr>
          <w:trHeight w:val="258"/>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ensure provision of free school meals to those pupils meeting the criteria</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F2386" w:rsidRPr="00C7554E" w:rsidRDefault="00C7554E">
            <w:pPr>
              <w:widowControl w:val="0"/>
              <w:overflowPunct w:val="0"/>
              <w:autoSpaceDE w:val="0"/>
              <w:autoSpaceDN w:val="0"/>
              <w:adjustRightInd w:val="0"/>
              <w:spacing w:after="0" w:line="240" w:lineRule="auto"/>
              <w:rPr>
                <w:rFonts w:ascii="Arial" w:eastAsia="Times New Roman" w:hAnsi="Arial"/>
                <w:sz w:val="28"/>
                <w:szCs w:val="28"/>
              </w:rPr>
            </w:pPr>
            <w:r w:rsidRPr="00C7554E">
              <w:rPr>
                <w:rFonts w:ascii="Arial" w:eastAsia="Times New Roman" w:hAnsi="Arial"/>
                <w:sz w:val="28"/>
                <w:szCs w:val="28"/>
              </w:rPr>
              <w:sym w:font="Wingdings" w:char="F0FC"/>
            </w:r>
          </w:p>
        </w:tc>
      </w:tr>
      <w:tr w:rsidR="006F2386" w:rsidTr="006F2386">
        <w:trPr>
          <w:trHeight w:val="76"/>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Adoption &amp; review of home-school agreements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7D42E4">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321"/>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39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0"/>
              </w:rPr>
              <w:t>GB Procedures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39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draw up instrument of government &amp; any amendments thereafter</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39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To appoint (&amp; remove) the chair &amp; vice-chair of a permanent or a temporary GB </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58"/>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appoint &amp; dismiss the clerk to the governors</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523"/>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To hold a full GB meeting at least three times in a school year or a meeting of the temporary GB/IEB as often as required   </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66"/>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appoint &amp; remove community or sponsor governors.</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58"/>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set up a Register of Governors’ Business Interests</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15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To approve &amp; set up a Governors Expenses Scheme </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523"/>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4"/>
                <w:szCs w:val="20"/>
              </w:rPr>
            </w:pPr>
            <w:r>
              <w:rPr>
                <w:rFonts w:ascii="Arial" w:eastAsia="Times New Roman" w:hAnsi="Arial"/>
                <w:sz w:val="20"/>
                <w:szCs w:val="20"/>
              </w:rPr>
              <w:t>To discharge duties in respect of pupils with special needs by appointing a “responsible person” in community, Voluntary &amp; Foundation Schools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F25961">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39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consider whether or not to exercise delegation of functions to individuals or committees</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255"/>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regulate the GB procedures (where not set out in law)</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b/>
                <w:sz w:val="28"/>
                <w:szCs w:val="28"/>
              </w:rPr>
            </w:pPr>
          </w:p>
        </w:tc>
      </w:tr>
      <w:tr w:rsidR="006F2386" w:rsidTr="006F2386">
        <w:trPr>
          <w:trHeight w:val="154"/>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15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0"/>
              </w:rPr>
              <w:t>Federations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15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consider forming a federation or joining an existing federation</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15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consider requests from other schools to join the federation</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213"/>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leave a federation</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154"/>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b/>
                <w:color w:val="44546A"/>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15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rPr>
                <w:rFonts w:ascii="Arial" w:eastAsia="Times New Roman" w:hAnsi="Arial"/>
                <w:sz w:val="20"/>
                <w:szCs w:val="20"/>
              </w:rPr>
            </w:pPr>
            <w:r>
              <w:rPr>
                <w:rFonts w:ascii="Arial" w:eastAsia="Times New Roman" w:hAnsi="Arial"/>
                <w:b/>
                <w:color w:val="44546A"/>
                <w:sz w:val="24"/>
                <w:szCs w:val="20"/>
              </w:rPr>
              <w:t>Extended Schools</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154"/>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i/>
                <w:sz w:val="20"/>
                <w:szCs w:val="20"/>
              </w:rPr>
            </w:pPr>
            <w:r>
              <w:rPr>
                <w:rFonts w:ascii="Arial" w:eastAsia="Times New Roman" w:hAnsi="Arial"/>
                <w:sz w:val="20"/>
                <w:szCs w:val="20"/>
              </w:rPr>
              <w:t xml:space="preserve">Decision to offer additional activities &amp; to the form these to take </w:t>
            </w: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290"/>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put into place the additional services provided</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C7554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279"/>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To ensure delivery of services provided</w:t>
            </w: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4D5EC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r>
      <w:tr w:rsidR="006F2386" w:rsidTr="006F2386">
        <w:trPr>
          <w:trHeight w:val="270"/>
        </w:trPr>
        <w:tc>
          <w:tcPr>
            <w:tcW w:w="6380" w:type="dxa"/>
            <w:tcBorders>
              <w:top w:val="single" w:sz="4" w:space="0" w:color="auto"/>
              <w:left w:val="single" w:sz="4" w:space="0" w:color="auto"/>
              <w:bottom w:val="single" w:sz="4" w:space="0" w:color="auto"/>
              <w:right w:val="single" w:sz="4" w:space="0" w:color="auto"/>
            </w:tcBorders>
            <w:hideMark/>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r>
              <w:rPr>
                <w:rFonts w:ascii="Arial" w:eastAsia="Times New Roman" w:hAnsi="Arial"/>
                <w:sz w:val="20"/>
                <w:szCs w:val="20"/>
              </w:rPr>
              <w:t xml:space="preserve">To cease providing extended school provision  </w:t>
            </w:r>
          </w:p>
        </w:tc>
        <w:tc>
          <w:tcPr>
            <w:tcW w:w="709" w:type="dxa"/>
            <w:tcBorders>
              <w:top w:val="single" w:sz="4" w:space="0" w:color="auto"/>
              <w:left w:val="single" w:sz="4" w:space="0" w:color="auto"/>
              <w:bottom w:val="single" w:sz="4" w:space="0" w:color="auto"/>
              <w:right w:val="single" w:sz="4" w:space="0" w:color="auto"/>
            </w:tcBorders>
          </w:tcPr>
          <w:p w:rsidR="006F2386" w:rsidRDefault="004D5ECE">
            <w:pPr>
              <w:widowControl w:val="0"/>
              <w:overflowPunct w:val="0"/>
              <w:autoSpaceDE w:val="0"/>
              <w:autoSpaceDN w:val="0"/>
              <w:adjustRightInd w:val="0"/>
              <w:spacing w:after="0" w:line="240" w:lineRule="auto"/>
              <w:rPr>
                <w:rFonts w:ascii="Arial" w:eastAsia="Times New Roman" w:hAnsi="Arial"/>
                <w:sz w:val="24"/>
                <w:szCs w:val="20"/>
              </w:rPr>
            </w:pPr>
            <w:r>
              <w:rPr>
                <w:rFonts w:ascii="Arial" w:eastAsia="Times New Roman" w:hAnsi="Arial"/>
                <w:sz w:val="24"/>
                <w:szCs w:val="20"/>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5DCE4"/>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r w:rsidR="006F2386" w:rsidTr="006F2386">
        <w:trPr>
          <w:trHeight w:val="270"/>
        </w:trPr>
        <w:tc>
          <w:tcPr>
            <w:tcW w:w="6380"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ind w:left="318"/>
              <w:rPr>
                <w:rFonts w:ascii="Arial" w:eastAsia="Times New Roman" w:hAnsi="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8"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c>
          <w:tcPr>
            <w:tcW w:w="709" w:type="dxa"/>
            <w:tcBorders>
              <w:top w:val="single" w:sz="4" w:space="0" w:color="auto"/>
              <w:left w:val="single" w:sz="4" w:space="0" w:color="auto"/>
              <w:bottom w:val="single" w:sz="4" w:space="0" w:color="auto"/>
              <w:right w:val="single" w:sz="4" w:space="0" w:color="auto"/>
            </w:tcBorders>
          </w:tcPr>
          <w:p w:rsidR="006F2386" w:rsidRDefault="006F2386">
            <w:pPr>
              <w:widowControl w:val="0"/>
              <w:overflowPunct w:val="0"/>
              <w:autoSpaceDE w:val="0"/>
              <w:autoSpaceDN w:val="0"/>
              <w:adjustRightInd w:val="0"/>
              <w:spacing w:after="0" w:line="240" w:lineRule="auto"/>
              <w:rPr>
                <w:rFonts w:ascii="Arial" w:eastAsia="Times New Roman" w:hAnsi="Arial"/>
                <w:sz w:val="24"/>
                <w:szCs w:val="20"/>
              </w:rPr>
            </w:pPr>
          </w:p>
        </w:tc>
      </w:tr>
    </w:tbl>
    <w:p w:rsidR="006F2386" w:rsidRDefault="006F2386" w:rsidP="006F2386">
      <w:pPr>
        <w:spacing w:line="240" w:lineRule="auto"/>
        <w:rPr>
          <w:rFonts w:ascii="Arial" w:hAnsi="Arial" w:cs="Arial"/>
          <w:b/>
          <w:color w:val="1F497D"/>
          <w:sz w:val="28"/>
          <w:szCs w:val="28"/>
        </w:rPr>
      </w:pPr>
    </w:p>
    <w:p w:rsidR="006F2386" w:rsidRDefault="006F2386" w:rsidP="006F2386">
      <w:pPr>
        <w:spacing w:line="240" w:lineRule="auto"/>
        <w:rPr>
          <w:rFonts w:ascii="Arial" w:hAnsi="Arial" w:cs="Arial"/>
          <w:b/>
          <w:color w:val="1F497D"/>
          <w:sz w:val="28"/>
          <w:szCs w:val="28"/>
        </w:rPr>
      </w:pPr>
    </w:p>
    <w:p w:rsidR="006F2386" w:rsidRDefault="006F2386" w:rsidP="006F2386">
      <w:pPr>
        <w:spacing w:line="240" w:lineRule="auto"/>
        <w:rPr>
          <w:rFonts w:ascii="Arial" w:hAnsi="Arial" w:cs="Arial"/>
          <w:b/>
          <w:color w:val="1F497D"/>
          <w:sz w:val="28"/>
          <w:szCs w:val="28"/>
        </w:rPr>
      </w:pPr>
    </w:p>
    <w:sectPr w:rsidR="006F2386" w:rsidSect="00963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 Gothic MT">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16D56"/>
    <w:multiLevelType w:val="hybridMultilevel"/>
    <w:tmpl w:val="8582459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86"/>
    <w:rsid w:val="000B1CC5"/>
    <w:rsid w:val="00176699"/>
    <w:rsid w:val="00237022"/>
    <w:rsid w:val="003953BF"/>
    <w:rsid w:val="00452608"/>
    <w:rsid w:val="004D5ECE"/>
    <w:rsid w:val="004F461A"/>
    <w:rsid w:val="00605309"/>
    <w:rsid w:val="006F2386"/>
    <w:rsid w:val="007A2D24"/>
    <w:rsid w:val="007B4B21"/>
    <w:rsid w:val="007D42E4"/>
    <w:rsid w:val="00855D98"/>
    <w:rsid w:val="00963F2A"/>
    <w:rsid w:val="009F6D8C"/>
    <w:rsid w:val="00B74665"/>
    <w:rsid w:val="00BF58A2"/>
    <w:rsid w:val="00C00705"/>
    <w:rsid w:val="00C7554E"/>
    <w:rsid w:val="00CF67B4"/>
    <w:rsid w:val="00D237A7"/>
    <w:rsid w:val="00F02117"/>
    <w:rsid w:val="00F2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EAC54-0DFC-4B60-BAD0-C53CB8F4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86"/>
    <w:pPr>
      <w:spacing w:after="200" w:line="276" w:lineRule="auto"/>
    </w:pPr>
    <w:rPr>
      <w:sz w:val="22"/>
      <w:szCs w:val="22"/>
    </w:rPr>
  </w:style>
  <w:style w:type="paragraph" w:styleId="Heading1">
    <w:name w:val="heading 1"/>
    <w:basedOn w:val="Normal"/>
    <w:next w:val="Normal"/>
    <w:link w:val="Heading1Char"/>
    <w:qFormat/>
    <w:rsid w:val="00D237A7"/>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D237A7"/>
    <w:pPr>
      <w:keepNext/>
      <w:spacing w:after="0" w:line="240" w:lineRule="auto"/>
      <w:jc w:val="center"/>
      <w:outlineLvl w:val="1"/>
    </w:pPr>
    <w:rPr>
      <w:rFonts w:ascii="Times New Roman" w:eastAsia="Times New Roman" w:hAnsi="Times New Roman"/>
      <w:b/>
      <w:bCs/>
      <w:color w:val="FF0000"/>
      <w:sz w:val="32"/>
      <w:szCs w:val="24"/>
    </w:rPr>
  </w:style>
  <w:style w:type="paragraph" w:styleId="Heading4">
    <w:name w:val="heading 4"/>
    <w:basedOn w:val="Normal"/>
    <w:next w:val="Normal"/>
    <w:link w:val="Heading4Char"/>
    <w:semiHidden/>
    <w:unhideWhenUsed/>
    <w:qFormat/>
    <w:rsid w:val="006F2386"/>
    <w:pPr>
      <w:keepNext/>
      <w:spacing w:after="0" w:line="240" w:lineRule="auto"/>
      <w:outlineLvl w:val="3"/>
    </w:pPr>
    <w:rPr>
      <w:rFonts w:ascii="News Gothic MT" w:eastAsia="Times New Roman" w:hAnsi="News Gothic MT"/>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37A7"/>
    <w:rPr>
      <w:rFonts w:ascii="Times New Roman" w:eastAsia="Times New Roman" w:hAnsi="Times New Roman"/>
      <w:b/>
      <w:bCs/>
      <w:color w:val="0000FF"/>
      <w:sz w:val="28"/>
      <w:szCs w:val="24"/>
    </w:rPr>
  </w:style>
  <w:style w:type="character" w:customStyle="1" w:styleId="Heading2Char">
    <w:name w:val="Heading 2 Char"/>
    <w:link w:val="Heading2"/>
    <w:rsid w:val="00D237A7"/>
    <w:rPr>
      <w:rFonts w:ascii="Times New Roman" w:eastAsia="Times New Roman" w:hAnsi="Times New Roman"/>
      <w:b/>
      <w:bCs/>
      <w:color w:val="FF0000"/>
      <w:sz w:val="32"/>
      <w:szCs w:val="24"/>
    </w:rPr>
  </w:style>
  <w:style w:type="paragraph" w:styleId="ListParagraph">
    <w:name w:val="List Paragraph"/>
    <w:basedOn w:val="Normal"/>
    <w:uiPriority w:val="34"/>
    <w:qFormat/>
    <w:rsid w:val="00D237A7"/>
    <w:pPr>
      <w:ind w:left="720"/>
      <w:contextualSpacing/>
    </w:pPr>
  </w:style>
  <w:style w:type="character" w:customStyle="1" w:styleId="Heading4Char">
    <w:name w:val="Heading 4 Char"/>
    <w:basedOn w:val="DefaultParagraphFont"/>
    <w:link w:val="Heading4"/>
    <w:semiHidden/>
    <w:rsid w:val="006F2386"/>
    <w:rPr>
      <w:rFonts w:ascii="News Gothic MT" w:eastAsia="Times New Roman" w:hAnsi="News Gothic MT"/>
      <w:b/>
      <w:sz w:val="22"/>
      <w:szCs w:val="24"/>
    </w:rPr>
  </w:style>
  <w:style w:type="paragraph" w:styleId="BodyText">
    <w:name w:val="Body Text"/>
    <w:basedOn w:val="Normal"/>
    <w:link w:val="BodyTextChar"/>
    <w:uiPriority w:val="99"/>
    <w:semiHidden/>
    <w:unhideWhenUsed/>
    <w:rsid w:val="006F2386"/>
    <w:pPr>
      <w:spacing w:after="120" w:line="256" w:lineRule="auto"/>
    </w:pPr>
  </w:style>
  <w:style w:type="character" w:customStyle="1" w:styleId="BodyTextChar">
    <w:name w:val="Body Text Char"/>
    <w:basedOn w:val="DefaultParagraphFont"/>
    <w:link w:val="BodyText"/>
    <w:uiPriority w:val="99"/>
    <w:semiHidden/>
    <w:rsid w:val="006F2386"/>
    <w:rPr>
      <w:sz w:val="22"/>
      <w:szCs w:val="22"/>
    </w:rPr>
  </w:style>
  <w:style w:type="paragraph" w:styleId="BodyText2">
    <w:name w:val="Body Text 2"/>
    <w:basedOn w:val="Normal"/>
    <w:link w:val="BodyText2Char"/>
    <w:semiHidden/>
    <w:unhideWhenUsed/>
    <w:rsid w:val="006F2386"/>
    <w:pPr>
      <w:spacing w:after="0" w:line="240" w:lineRule="auto"/>
    </w:pPr>
    <w:rPr>
      <w:rFonts w:ascii="News Gothic MT" w:eastAsia="Times New Roman" w:hAnsi="News Gothic MT"/>
      <w:i/>
      <w:szCs w:val="20"/>
    </w:rPr>
  </w:style>
  <w:style w:type="character" w:customStyle="1" w:styleId="BodyText2Char">
    <w:name w:val="Body Text 2 Char"/>
    <w:basedOn w:val="DefaultParagraphFont"/>
    <w:link w:val="BodyText2"/>
    <w:semiHidden/>
    <w:rsid w:val="006F2386"/>
    <w:rPr>
      <w:rFonts w:ascii="News Gothic MT" w:eastAsia="Times New Roman" w:hAnsi="News Gothic MT"/>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ourladyj-ao</dc:creator>
  <cp:lastModifiedBy>teacher</cp:lastModifiedBy>
  <cp:revision>2</cp:revision>
  <dcterms:created xsi:type="dcterms:W3CDTF">2017-10-10T18:24:00Z</dcterms:created>
  <dcterms:modified xsi:type="dcterms:W3CDTF">2017-10-10T18:24:00Z</dcterms:modified>
</cp:coreProperties>
</file>